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BCE100E" w:rsidR="00167A0D" w:rsidRPr="00C61DBD" w:rsidRDefault="00E812D3" w:rsidP="00167A0D">
      <w:pPr>
        <w:rPr>
          <w:rFonts w:ascii="Palatino Linotype" w:eastAsia="Aptos" w:hAnsi="Palatino Linotype" w:cs="Mongolian Baiti"/>
          <w:b/>
          <w:bCs/>
          <w:color w:val="8E7618"/>
          <w:sz w:val="40"/>
          <w:szCs w:val="40"/>
        </w:rPr>
      </w:pPr>
      <w:r>
        <w:rPr>
          <w:rFonts w:ascii="Palatino Linotype" w:hAnsi="Palatino Linotype"/>
          <w:color w:val="8E7618"/>
          <w:sz w:val="40"/>
          <w:szCs w:val="40"/>
        </w:rPr>
        <w:t>Archowissen</w:t>
      </w:r>
    </w:p>
    <w:p w14:paraId="5A969872" w14:textId="74004C7B" w:rsidR="00C61DBD" w:rsidRDefault="00E812D3" w:rsidP="00167A0D">
      <w:pPr>
        <w:rPr>
          <w:rFonts w:ascii="Palatino Linotype" w:hAnsi="Palatino Linotype"/>
          <w:color w:val="8E7618"/>
          <w:sz w:val="32"/>
          <w:szCs w:val="32"/>
        </w:rPr>
      </w:pPr>
      <w:r>
        <w:rPr>
          <w:rFonts w:ascii="Palatino Linotype" w:hAnsi="Palatino Linotype"/>
          <w:color w:val="8E7618"/>
          <w:sz w:val="32"/>
          <w:szCs w:val="32"/>
        </w:rPr>
        <w:t>Eiszeitkunst</w:t>
      </w:r>
    </w:p>
    <w:p w14:paraId="53BE491C" w14:textId="5776B470" w:rsidR="00E812D3" w:rsidRDefault="00E812D3" w:rsidP="00615480">
      <w:pPr>
        <w:ind w:left="708" w:firstLine="708"/>
        <w:rPr>
          <w:rFonts w:ascii="Palatino Linotype" w:hAnsi="Palatino Linotype"/>
          <w:color w:val="8E7618"/>
          <w:sz w:val="32"/>
          <w:szCs w:val="32"/>
        </w:rPr>
      </w:pPr>
      <w:r>
        <w:rPr>
          <w:rFonts w:ascii="Palatino Linotype" w:hAnsi="Palatino Linotype"/>
          <w:noProof/>
          <w:color w:val="8E7618"/>
          <w:sz w:val="32"/>
          <w:szCs w:val="32"/>
        </w:rPr>
        <w:drawing>
          <wp:inline distT="0" distB="0" distL="0" distR="0" wp14:anchorId="6E926680" wp14:editId="74DD4829">
            <wp:extent cx="3657600" cy="3657600"/>
            <wp:effectExtent l="0" t="0" r="0" b="0"/>
            <wp:docPr id="13882485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pic:spPr>
                </pic:pic>
              </a:graphicData>
            </a:graphic>
          </wp:inline>
        </w:drawing>
      </w:r>
    </w:p>
    <w:p w14:paraId="2159FEF8" w14:textId="6BE99983" w:rsidR="00E812D3" w:rsidRPr="00615480" w:rsidRDefault="00E812D3" w:rsidP="00167A0D">
      <w:pPr>
        <w:rPr>
          <w:rFonts w:ascii="Palatino Linotype" w:hAnsi="Palatino Linotype"/>
          <w:color w:val="8E7618"/>
          <w:sz w:val="24"/>
          <w:szCs w:val="24"/>
        </w:rPr>
      </w:pPr>
      <w:r w:rsidRPr="00615480">
        <w:rPr>
          <w:rFonts w:ascii="Palatino Linotype" w:hAnsi="Palatino Linotype"/>
          <w:sz w:val="24"/>
          <w:szCs w:val="24"/>
        </w:rPr>
        <w:t>Moderne Nachahmung einer eiszeitlichen Felsmalerei in den französischen Pyrenäen</w:t>
      </w:r>
      <w:r w:rsidRPr="00615480">
        <w:rPr>
          <w:rFonts w:ascii="Palatino Linotype" w:hAnsi="Palatino Linotype"/>
          <w:sz w:val="24"/>
          <w:szCs w:val="24"/>
        </w:rPr>
        <w:t xml:space="preserve"> </w:t>
      </w:r>
    </w:p>
    <w:p w14:paraId="1C8109C9" w14:textId="77777777" w:rsidR="00E812D3" w:rsidRPr="00615480" w:rsidRDefault="00E812D3" w:rsidP="00E812D3">
      <w:pPr>
        <w:pStyle w:val="StandardWeb"/>
        <w:jc w:val="both"/>
        <w:rPr>
          <w:rFonts w:ascii="Palatino Linotype" w:hAnsi="Palatino Linotype"/>
          <w:sz w:val="28"/>
          <w:szCs w:val="28"/>
        </w:rPr>
      </w:pPr>
      <w:r w:rsidRPr="00615480">
        <w:rPr>
          <w:rFonts w:ascii="Palatino Linotype" w:hAnsi="Palatino Linotype"/>
          <w:sz w:val="28"/>
          <w:szCs w:val="28"/>
        </w:rPr>
        <w:t>Unter Eiszeitkunst verstehen wir Kunstwerke, die von Menschen geschaffen wurden, die vor rund 50.000 Jahren von Afrika aus nach Europa kamen. Hier lebten zu dieser Zeit schon sehr lange Neandertaler, eine verwandte Menschenart. Die Forschenden streiten momentan  noch, ob sich auch Neandertaler künstlerisch ausdrückten. Mit dem Neandertaler werden wir uns aber noch in einem späteren Beitrag beschäftigen.</w:t>
      </w:r>
    </w:p>
    <w:p w14:paraId="1D611639" w14:textId="77777777" w:rsidR="00E812D3" w:rsidRPr="00615480" w:rsidRDefault="00E812D3" w:rsidP="00E812D3">
      <w:pPr>
        <w:pStyle w:val="StandardWeb"/>
        <w:jc w:val="both"/>
        <w:rPr>
          <w:rFonts w:ascii="Palatino Linotype" w:hAnsi="Palatino Linotype"/>
          <w:sz w:val="28"/>
          <w:szCs w:val="28"/>
        </w:rPr>
      </w:pPr>
      <w:r w:rsidRPr="00615480">
        <w:rPr>
          <w:rFonts w:ascii="Palatino Linotype" w:hAnsi="Palatino Linotype"/>
          <w:sz w:val="28"/>
          <w:szCs w:val="28"/>
        </w:rPr>
        <w:t>In der Archäologie teilen wir Zeitabschnitte nach bekannten Fundorten ein. Die Phase, in der die ersten Kunstwerke in Europa geschaffen wurden, nennen wir "</w:t>
      </w:r>
      <w:r w:rsidRPr="00615480">
        <w:rPr>
          <w:rStyle w:val="theming-theme-accent1"/>
          <w:rFonts w:ascii="Palatino Linotype" w:eastAsiaTheme="majorEastAsia" w:hAnsi="Palatino Linotype"/>
          <w:color w:val="8E7618"/>
          <w:sz w:val="28"/>
          <w:szCs w:val="28"/>
        </w:rPr>
        <w:t>Aurignacien</w:t>
      </w:r>
      <w:r w:rsidRPr="00615480">
        <w:rPr>
          <w:rFonts w:ascii="Palatino Linotype" w:hAnsi="Palatino Linotype"/>
          <w:sz w:val="28"/>
          <w:szCs w:val="28"/>
        </w:rPr>
        <w:t xml:space="preserve">". Sie dauerte von ca. 44.000-34.000 Jahren vor heute.   Schon so früh schaffen Menschen Kunstwerke auf den </w:t>
      </w:r>
      <w:r w:rsidRPr="00615480">
        <w:rPr>
          <w:rFonts w:ascii="Palatino Linotype" w:hAnsi="Palatino Linotype"/>
          <w:sz w:val="28"/>
          <w:szCs w:val="28"/>
        </w:rPr>
        <w:lastRenderedPageBreak/>
        <w:t>Wänden von Höhlen und unter Höhlendächern, sie tragen Schmuck aus Muscheln, geschnitzten Perlen und Anhängern. Für ihre Wandmalereien und -gravuren wagen sie sich oft tief in Höhlen hinein. Dort leben die Menschen nicht und wir können nur spekulieren, warum sie an diesen Orten der totalen Finsternis im schwachen Schein ihrer Lampen und Fackeln Kunstwerke auf Wänden, Böden und Decken schaffen. Einige an Stellen, wo sie gut sichtbar für viele Personen sind, andere eher in versteckten und schwer zugänglichen Nischen. Gravuren finden wir auch unter Felsdächern (Abris) im Freien, in deren Schutz Menschen lagern. Farbe ist an diesen Orten heute längst verschwunden und wir können bestenfalls noch einige Reste erkennen. Wir müssen uns also die Welt der Kunstwerke in der Eiszeit zahlreicher und vielfältiger vorstellen, als wir sie heute noch vorfinden können. </w:t>
      </w:r>
    </w:p>
    <w:p w14:paraId="045CE611" w14:textId="75AAE071" w:rsidR="00E812D3" w:rsidRPr="00615480" w:rsidRDefault="00E812D3" w:rsidP="00E812D3">
      <w:pPr>
        <w:pStyle w:val="StandardWeb"/>
        <w:jc w:val="both"/>
        <w:rPr>
          <w:rFonts w:ascii="Palatino Linotype" w:hAnsi="Palatino Linotype"/>
          <w:sz w:val="28"/>
          <w:szCs w:val="28"/>
        </w:rPr>
      </w:pPr>
      <w:r w:rsidRPr="00615480">
        <w:rPr>
          <w:rFonts w:ascii="Palatino Linotype" w:hAnsi="Palatino Linotype"/>
          <w:sz w:val="28"/>
          <w:szCs w:val="28"/>
        </w:rPr>
        <w:t>Erstaunlich ist, dass über den gesamten Zeitraum der sog. Eiszeitkunst, rund 30.000 Jahre lang, nahezu dieselben Themen in der Wandkunst und auf Gegenständen dargestellt werden: Tiere, seltener Menschen oder Fantasiewesen und abstrakte Zeichen, deren Bedeutung wir nicht mehr kennen. Warum ist das so und warum so lange? </w:t>
      </w:r>
    </w:p>
    <w:p w14:paraId="58B5B40B" w14:textId="257FCD32" w:rsidR="00E812D3" w:rsidRPr="00615480" w:rsidRDefault="00E812D3" w:rsidP="00E812D3">
      <w:pPr>
        <w:pStyle w:val="StandardWeb"/>
        <w:jc w:val="both"/>
        <w:rPr>
          <w:rFonts w:ascii="Palatino Linotype" w:hAnsi="Palatino Linotype"/>
          <w:color w:val="8E7618"/>
          <w:sz w:val="32"/>
          <w:szCs w:val="32"/>
        </w:rPr>
      </w:pPr>
      <w:r w:rsidRPr="00615480">
        <w:rPr>
          <w:rFonts w:ascii="Palatino Linotype" w:hAnsi="Palatino Linotype"/>
          <w:color w:val="8E7618"/>
          <w:sz w:val="32"/>
          <w:szCs w:val="32"/>
        </w:rPr>
        <w:t>Auf der Schwäbischen Alb</w:t>
      </w:r>
    </w:p>
    <w:p w14:paraId="32F84AF4" w14:textId="04CD0C9B" w:rsidR="00E812D3" w:rsidRDefault="00737DFB" w:rsidP="00737DFB">
      <w:pPr>
        <w:pStyle w:val="StandardWeb"/>
        <w:jc w:val="both"/>
        <w:rPr>
          <w:rFonts w:ascii="ProzaLibre" w:hAnsi="ProzaLibre"/>
        </w:rPr>
      </w:pPr>
      <w:r>
        <w:rPr>
          <w:rFonts w:ascii="ProzaLibre" w:hAnsi="ProzaLibre"/>
        </w:rPr>
        <w:t xml:space="preserve">                                           </w:t>
      </w:r>
      <w:r w:rsidR="00E812D3">
        <w:rPr>
          <w:rFonts w:ascii="ProzaLibre" w:hAnsi="ProzaLibre"/>
          <w:noProof/>
        </w:rPr>
        <w:drawing>
          <wp:inline distT="0" distB="0" distL="0" distR="0" wp14:anchorId="58E1D932" wp14:editId="77109E8B">
            <wp:extent cx="2013044" cy="2013044"/>
            <wp:effectExtent l="0" t="0" r="6350" b="6350"/>
            <wp:docPr id="7097577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6908" cy="2026908"/>
                    </a:xfrm>
                    <a:prstGeom prst="rect">
                      <a:avLst/>
                    </a:prstGeom>
                    <a:noFill/>
                  </pic:spPr>
                </pic:pic>
              </a:graphicData>
            </a:graphic>
          </wp:inline>
        </w:drawing>
      </w:r>
    </w:p>
    <w:p w14:paraId="72CC0250" w14:textId="595E1E4F" w:rsidR="00737DFB" w:rsidRPr="00615480" w:rsidRDefault="00737DFB" w:rsidP="00737DFB">
      <w:pPr>
        <w:pStyle w:val="StandardWeb"/>
        <w:jc w:val="both"/>
        <w:rPr>
          <w:rFonts w:ascii="Palatino Linotype" w:hAnsi="Palatino Linotype"/>
        </w:rPr>
      </w:pPr>
      <w:r>
        <w:rPr>
          <w:sz w:val="18"/>
          <w:szCs w:val="18"/>
        </w:rPr>
        <w:t xml:space="preserve">                                            </w:t>
      </w:r>
      <w:r w:rsidRPr="00615480">
        <w:rPr>
          <w:rFonts w:ascii="Palatino Linotype" w:hAnsi="Palatino Linotype"/>
        </w:rPr>
        <w:t>Mammut aus der Vogelherd-Höhle</w:t>
      </w:r>
    </w:p>
    <w:p w14:paraId="3365F9BA" w14:textId="372A8675" w:rsidR="00E812D3" w:rsidRPr="00615480" w:rsidRDefault="00E812D3" w:rsidP="00E812D3">
      <w:pPr>
        <w:pStyle w:val="StandardWeb"/>
        <w:jc w:val="both"/>
        <w:rPr>
          <w:rFonts w:ascii="Palatino Linotype" w:eastAsiaTheme="minorHAnsi" w:hAnsi="Palatino Linotype" w:cstheme="minorBidi"/>
          <w:kern w:val="2"/>
          <w:sz w:val="28"/>
          <w:szCs w:val="28"/>
          <w:lang w:eastAsia="en-US"/>
          <w14:ligatures w14:val="standardContextual"/>
        </w:rPr>
      </w:pPr>
      <w:r w:rsidRPr="00615480">
        <w:rPr>
          <w:rFonts w:ascii="Palatino Linotype" w:eastAsiaTheme="minorHAnsi" w:hAnsi="Palatino Linotype" w:cstheme="minorBidi"/>
          <w:kern w:val="2"/>
          <w:sz w:val="28"/>
          <w:szCs w:val="28"/>
          <w:lang w:eastAsia="en-US"/>
          <w14:ligatures w14:val="standardContextual"/>
        </w:rPr>
        <w:t>Die bisher ältesten in Europa gefundenen Kunstobjekte stammen von der Schwäbischen Alb. Sie sind rund 40.000 Jahre alt. Es sind kleine aus Mammutelfenbein geschnitzte Figuren. Tiere, Fantasiewesen und eine Frauenfigur. Einige Forschende meinen, sie seien „statisch“. Wenn man sie aber genau ansieht – das kannst Du z. B. in der</w:t>
      </w:r>
      <w:r w:rsidRPr="00615480">
        <w:rPr>
          <w:rFonts w:ascii="Palatino Linotype" w:eastAsiaTheme="minorHAnsi" w:hAnsi="Palatino Linotype" w:cstheme="minorBidi"/>
          <w:color w:val="8E7618"/>
          <w:kern w:val="2"/>
          <w:sz w:val="28"/>
          <w:szCs w:val="28"/>
          <w:lang w:eastAsia="en-US"/>
          <w14:ligatures w14:val="standardContextual"/>
        </w:rPr>
        <w:t xml:space="preserve"> </w:t>
      </w:r>
      <w:hyperlink r:id="rId7" w:tgtFrame="_blank" w:history="1">
        <w:r w:rsidRPr="00615480">
          <w:rPr>
            <w:rFonts w:ascii="Palatino Linotype" w:eastAsiaTheme="minorHAnsi" w:hAnsi="Palatino Linotype" w:cstheme="minorBidi"/>
            <w:color w:val="8E7618"/>
            <w:kern w:val="2"/>
            <w:sz w:val="28"/>
            <w:szCs w:val="28"/>
            <w:u w:val="single"/>
            <w:lang w:eastAsia="en-US"/>
            <w14:ligatures w14:val="standardContextual"/>
          </w:rPr>
          <w:t xml:space="preserve">Sammlung der </w:t>
        </w:r>
        <w:r w:rsidRPr="00615480">
          <w:rPr>
            <w:rFonts w:ascii="Palatino Linotype" w:eastAsiaTheme="minorHAnsi" w:hAnsi="Palatino Linotype" w:cstheme="minorBidi"/>
            <w:color w:val="8E7618"/>
            <w:kern w:val="2"/>
            <w:sz w:val="28"/>
            <w:szCs w:val="28"/>
            <w:u w:val="single"/>
            <w:lang w:eastAsia="en-US"/>
            <w14:ligatures w14:val="standardContextual"/>
          </w:rPr>
          <w:lastRenderedPageBreak/>
          <w:t>Universität Tübingen</w:t>
        </w:r>
      </w:hyperlink>
      <w:r w:rsidRPr="00615480">
        <w:rPr>
          <w:rFonts w:ascii="Palatino Linotype" w:eastAsiaTheme="minorHAnsi" w:hAnsi="Palatino Linotype" w:cstheme="minorBidi"/>
          <w:kern w:val="2"/>
          <w:sz w:val="28"/>
          <w:szCs w:val="28"/>
          <w:lang w:eastAsia="en-US"/>
          <w14:ligatures w14:val="standardContextual"/>
        </w:rPr>
        <w:t xml:space="preserve"> – erkennt man bei einigen aber, dass ihre typischen Bewegungen genau wiedergegeben wurden! Ein Löwe schleicht sich an, ein Fisch schwingt seinen Schwanz im Wasser, ein </w:t>
      </w:r>
      <w:hyperlink r:id="rId8" w:tgtFrame="_blank" w:history="1">
        <w:r w:rsidRPr="00615480">
          <w:rPr>
            <w:rFonts w:ascii="Palatino Linotype" w:eastAsiaTheme="minorHAnsi" w:hAnsi="Palatino Linotype" w:cstheme="minorBidi"/>
            <w:color w:val="8E7618"/>
            <w:kern w:val="2"/>
            <w:sz w:val="28"/>
            <w:szCs w:val="28"/>
            <w:u w:val="single"/>
            <w:lang w:eastAsia="en-US"/>
            <w14:ligatures w14:val="standardContextual"/>
          </w:rPr>
          <w:t>Wasservogel</w:t>
        </w:r>
      </w:hyperlink>
      <w:r w:rsidRPr="00615480">
        <w:rPr>
          <w:rFonts w:ascii="Palatino Linotype" w:eastAsiaTheme="minorHAnsi" w:hAnsi="Palatino Linotype" w:cstheme="minorBidi"/>
          <w:color w:val="8E7618"/>
          <w:kern w:val="2"/>
          <w:sz w:val="28"/>
          <w:szCs w:val="28"/>
          <w:lang w:eastAsia="en-US"/>
          <w14:ligatures w14:val="standardContextual"/>
        </w:rPr>
        <w:t xml:space="preserve"> </w:t>
      </w:r>
      <w:r w:rsidRPr="00615480">
        <w:rPr>
          <w:rFonts w:ascii="Palatino Linotype" w:eastAsiaTheme="minorHAnsi" w:hAnsi="Palatino Linotype" w:cstheme="minorBidi"/>
          <w:kern w:val="2"/>
          <w:sz w:val="28"/>
          <w:szCs w:val="28"/>
          <w:lang w:eastAsia="en-US"/>
          <w14:ligatures w14:val="standardContextual"/>
        </w:rPr>
        <w:t>fliegt in der Luft… Wir wissen nicht, wozu diese Figuren dienten. Vielleicht wurden sie in kleinen Lederbeuteln getragen - die Frauenfigur hat jedenfalls eine Öse, durch die ein Band gezogen werden konnte. Über mehrere Jahre haben Forschende Elfenbeinteile aus der Höhle "</w:t>
      </w:r>
      <w:proofErr w:type="spellStart"/>
      <w:r w:rsidRPr="00615480">
        <w:rPr>
          <w:rFonts w:ascii="Palatino Linotype" w:eastAsiaTheme="minorHAnsi" w:hAnsi="Palatino Linotype" w:cstheme="minorBidi"/>
          <w:kern w:val="2"/>
          <w:sz w:val="28"/>
          <w:szCs w:val="28"/>
          <w:lang w:eastAsia="en-US"/>
          <w14:ligatures w14:val="standardContextual"/>
        </w:rPr>
        <w:t>Hohlenstein</w:t>
      </w:r>
      <w:proofErr w:type="spellEnd"/>
      <w:r w:rsidRPr="00615480">
        <w:rPr>
          <w:rFonts w:ascii="Palatino Linotype" w:eastAsiaTheme="minorHAnsi" w:hAnsi="Palatino Linotype" w:cstheme="minorBidi"/>
          <w:kern w:val="2"/>
          <w:sz w:val="28"/>
          <w:szCs w:val="28"/>
          <w:lang w:eastAsia="en-US"/>
          <w14:ligatures w14:val="standardContextual"/>
        </w:rPr>
        <w:t xml:space="preserve">-Stadel" zu einem </w:t>
      </w:r>
      <w:hyperlink r:id="rId9" w:tgtFrame="_blank" w:history="1">
        <w:r w:rsidRPr="00615480">
          <w:rPr>
            <w:rFonts w:ascii="Palatino Linotype" w:eastAsiaTheme="minorHAnsi" w:hAnsi="Palatino Linotype" w:cstheme="minorBidi"/>
            <w:color w:val="8E7618"/>
            <w:kern w:val="2"/>
            <w:sz w:val="28"/>
            <w:szCs w:val="28"/>
            <w:u w:val="single"/>
            <w:lang w:eastAsia="en-US"/>
            <w14:ligatures w14:val="standardContextual"/>
          </w:rPr>
          <w:t>Halbwesen aus Löwe und Mensch</w:t>
        </w:r>
      </w:hyperlink>
      <w:r w:rsidRPr="00615480">
        <w:rPr>
          <w:rFonts w:ascii="Palatino Linotype" w:eastAsiaTheme="minorHAnsi" w:hAnsi="Palatino Linotype" w:cstheme="minorBidi"/>
          <w:kern w:val="2"/>
          <w:sz w:val="28"/>
          <w:szCs w:val="28"/>
          <w:lang w:eastAsia="en-US"/>
          <w14:ligatures w14:val="standardContextual"/>
        </w:rPr>
        <w:t xml:space="preserve"> zusammengefügt. Vielleicht war diese kleine Statue für ein Ritual so aufgestellt, wie ihre Nachbildung heute noch in dieser Höhle zu sehen ist.</w:t>
      </w:r>
    </w:p>
    <w:p w14:paraId="7045F82D" w14:textId="61348EB1" w:rsidR="00E812D3" w:rsidRPr="00615480" w:rsidRDefault="00E812D3" w:rsidP="00E812D3">
      <w:pPr>
        <w:pStyle w:val="StandardWeb"/>
        <w:jc w:val="both"/>
        <w:rPr>
          <w:rFonts w:ascii="Palatino Linotype" w:eastAsiaTheme="minorHAnsi" w:hAnsi="Palatino Linotype" w:cstheme="minorBidi"/>
          <w:color w:val="8E7618"/>
          <w:kern w:val="2"/>
          <w:sz w:val="28"/>
          <w:szCs w:val="28"/>
          <w:lang w:eastAsia="en-US"/>
          <w14:ligatures w14:val="standardContextual"/>
        </w:rPr>
      </w:pPr>
      <w:r w:rsidRPr="00615480">
        <w:rPr>
          <w:rFonts w:ascii="Palatino Linotype" w:eastAsiaTheme="minorHAnsi" w:hAnsi="Palatino Linotype" w:cstheme="minorBidi"/>
          <w:color w:val="8E7618"/>
          <w:kern w:val="2"/>
          <w:sz w:val="28"/>
          <w:szCs w:val="28"/>
          <w:lang w:eastAsia="en-US"/>
          <w14:ligatures w14:val="standardContextual"/>
        </w:rPr>
        <w:fldChar w:fldCharType="begin"/>
      </w:r>
      <w:r w:rsidRPr="00615480">
        <w:rPr>
          <w:rFonts w:ascii="Palatino Linotype" w:eastAsiaTheme="minorHAnsi" w:hAnsi="Palatino Linotype" w:cstheme="minorBidi"/>
          <w:color w:val="8E7618"/>
          <w:kern w:val="2"/>
          <w:sz w:val="28"/>
          <w:szCs w:val="28"/>
          <w:lang w:eastAsia="en-US"/>
          <w14:ligatures w14:val="standardContextual"/>
        </w:rPr>
        <w:instrText>HYPERLINK "https://www.urmu.de/museum" \t "_blank"</w:instrText>
      </w:r>
      <w:r w:rsidRPr="00615480">
        <w:rPr>
          <w:rFonts w:ascii="Palatino Linotype" w:eastAsiaTheme="minorHAnsi" w:hAnsi="Palatino Linotype" w:cstheme="minorBidi"/>
          <w:color w:val="8E7618"/>
          <w:kern w:val="2"/>
          <w:sz w:val="28"/>
          <w:szCs w:val="28"/>
          <w:lang w:eastAsia="en-US"/>
          <w14:ligatures w14:val="standardContextual"/>
        </w:rPr>
      </w:r>
      <w:r w:rsidRPr="00615480">
        <w:rPr>
          <w:rFonts w:ascii="Palatino Linotype" w:eastAsiaTheme="minorHAnsi" w:hAnsi="Palatino Linotype" w:cstheme="minorBidi"/>
          <w:color w:val="8E7618"/>
          <w:kern w:val="2"/>
          <w:sz w:val="28"/>
          <w:szCs w:val="28"/>
          <w:lang w:eastAsia="en-US"/>
          <w14:ligatures w14:val="standardContextual"/>
        </w:rPr>
        <w:fldChar w:fldCharType="separate"/>
      </w:r>
      <w:r w:rsidRPr="00615480">
        <w:rPr>
          <w:rFonts w:ascii="Palatino Linotype" w:eastAsiaTheme="minorHAnsi" w:hAnsi="Palatino Linotype" w:cstheme="minorBidi"/>
          <w:color w:val="8E7618"/>
          <w:kern w:val="2"/>
          <w:sz w:val="28"/>
          <w:szCs w:val="28"/>
          <w:u w:val="single"/>
          <w:lang w:eastAsia="en-US"/>
          <w14:ligatures w14:val="standardContextual"/>
        </w:rPr>
        <w:t>MEHR LERNEN IM URGESCHICHTLICHEN MUSEUM BLAUBEUREN</w:t>
      </w:r>
      <w:r w:rsidRPr="00615480">
        <w:rPr>
          <w:rFonts w:ascii="Palatino Linotype" w:eastAsiaTheme="minorHAnsi" w:hAnsi="Palatino Linotype" w:cstheme="minorBidi"/>
          <w:color w:val="8E7618"/>
          <w:kern w:val="2"/>
          <w:sz w:val="28"/>
          <w:szCs w:val="28"/>
          <w:lang w:eastAsia="en-US"/>
          <w14:ligatures w14:val="standardContextual"/>
        </w:rPr>
        <w:fldChar w:fldCharType="end"/>
      </w:r>
    </w:p>
    <w:p w14:paraId="096BC527" w14:textId="77777777" w:rsidR="00737DFB" w:rsidRDefault="00737DFB" w:rsidP="00E812D3">
      <w:pPr>
        <w:pStyle w:val="StandardWeb"/>
        <w:jc w:val="both"/>
        <w:rPr>
          <w:rFonts w:asciiTheme="minorHAnsi" w:eastAsiaTheme="minorHAnsi" w:hAnsiTheme="minorHAnsi" w:cstheme="minorBidi"/>
          <w:kern w:val="2"/>
          <w:sz w:val="22"/>
          <w:szCs w:val="22"/>
          <w:lang w:eastAsia="en-US"/>
          <w14:ligatures w14:val="standardContextual"/>
        </w:rPr>
      </w:pPr>
    </w:p>
    <w:p w14:paraId="4B502513" w14:textId="69745EA6" w:rsidR="00737DFB" w:rsidRPr="00615480" w:rsidRDefault="00737DFB" w:rsidP="00E812D3">
      <w:pPr>
        <w:pStyle w:val="StandardWeb"/>
        <w:jc w:val="both"/>
        <w:rPr>
          <w:rFonts w:ascii="Palatino Linotype" w:hAnsi="Palatino Linotype"/>
          <w:color w:val="8E7618"/>
          <w:sz w:val="32"/>
          <w:szCs w:val="32"/>
        </w:rPr>
      </w:pPr>
      <w:r w:rsidRPr="00615480">
        <w:rPr>
          <w:rFonts w:ascii="Palatino Linotype" w:hAnsi="Palatino Linotype"/>
          <w:color w:val="8E7618"/>
          <w:sz w:val="32"/>
          <w:szCs w:val="32"/>
        </w:rPr>
        <w:t>Wandkunst im Aurignacien </w:t>
      </w:r>
    </w:p>
    <w:p w14:paraId="6C59F841" w14:textId="6A692E73" w:rsidR="00737DFB" w:rsidRPr="00615480" w:rsidRDefault="00737DFB" w:rsidP="00E812D3">
      <w:pPr>
        <w:pStyle w:val="StandardWeb"/>
        <w:jc w:val="both"/>
        <w:rPr>
          <w:rFonts w:ascii="Palatino Linotype" w:eastAsiaTheme="minorHAnsi" w:hAnsi="Palatino Linotype" w:cstheme="minorBidi"/>
          <w:kern w:val="2"/>
          <w:sz w:val="28"/>
          <w:szCs w:val="28"/>
          <w:lang w:eastAsia="en-US"/>
          <w14:ligatures w14:val="standardContextual"/>
        </w:rPr>
      </w:pPr>
      <w:r w:rsidRPr="00615480">
        <w:rPr>
          <w:rFonts w:ascii="Palatino Linotype" w:eastAsiaTheme="minorHAnsi" w:hAnsi="Palatino Linotype" w:cstheme="minorBidi"/>
          <w:kern w:val="2"/>
          <w:sz w:val="28"/>
          <w:szCs w:val="28"/>
          <w:lang w:eastAsia="en-US"/>
          <w14:ligatures w14:val="standardContextual"/>
        </w:rPr>
        <w:t xml:space="preserve">Zu den frühesten dekorierten Höhlen gehört die </w:t>
      </w:r>
      <w:r w:rsidRPr="00615480">
        <w:rPr>
          <w:rFonts w:ascii="Palatino Linotype" w:eastAsiaTheme="minorHAnsi" w:hAnsi="Palatino Linotype" w:cstheme="minorBidi"/>
          <w:color w:val="8E7618"/>
          <w:kern w:val="2"/>
          <w:sz w:val="28"/>
          <w:szCs w:val="28"/>
          <w:lang w:eastAsia="en-US"/>
          <w14:ligatures w14:val="standardContextual"/>
        </w:rPr>
        <w:t xml:space="preserve">Grotte Chauvet </w:t>
      </w:r>
      <w:r w:rsidR="00CA0801" w:rsidRPr="00615480">
        <w:rPr>
          <w:rFonts w:ascii="Palatino Linotype" w:eastAsiaTheme="minorHAnsi" w:hAnsi="Palatino Linotype" w:cstheme="minorBidi"/>
          <w:color w:val="8E7618"/>
          <w:kern w:val="2"/>
          <w:sz w:val="28"/>
          <w:szCs w:val="28"/>
          <w:lang w:eastAsia="en-US"/>
          <w14:ligatures w14:val="standardContextual"/>
        </w:rPr>
        <w:t xml:space="preserve">(Archot(r)ip 1) </w:t>
      </w:r>
      <w:r w:rsidRPr="00615480">
        <w:rPr>
          <w:rFonts w:ascii="Palatino Linotype" w:eastAsiaTheme="minorHAnsi" w:hAnsi="Palatino Linotype" w:cstheme="minorBidi"/>
          <w:kern w:val="2"/>
          <w:sz w:val="28"/>
          <w:szCs w:val="28"/>
          <w:lang w:eastAsia="en-US"/>
          <w14:ligatures w14:val="standardContextual"/>
        </w:rPr>
        <w:t>in Frankreich. Dort sind Tiere meisterhaft  naturalistisch und perspektivisch dargestellt. Die am häufigsten verwendeten Farben sind rot und schwarz, seltener ocker. Die Farbpigmente wurden aus Holzkohle, Mangan-/</w:t>
      </w:r>
      <w:r w:rsidR="00615480" w:rsidRPr="00615480">
        <w:rPr>
          <w:rFonts w:ascii="Palatino Linotype" w:eastAsiaTheme="minorHAnsi" w:hAnsi="Palatino Linotype" w:cstheme="minorBidi"/>
          <w:kern w:val="2"/>
          <w:sz w:val="28"/>
          <w:szCs w:val="28"/>
          <w:lang w:eastAsia="en-US"/>
          <w14:ligatures w14:val="standardContextual"/>
        </w:rPr>
        <w:t>Hämatit Gestein</w:t>
      </w:r>
      <w:r w:rsidRPr="00615480">
        <w:rPr>
          <w:rFonts w:ascii="Palatino Linotype" w:eastAsiaTheme="minorHAnsi" w:hAnsi="Palatino Linotype" w:cstheme="minorBidi"/>
          <w:kern w:val="2"/>
          <w:sz w:val="28"/>
          <w:szCs w:val="28"/>
          <w:lang w:eastAsia="en-US"/>
          <w14:ligatures w14:val="standardContextual"/>
        </w:rPr>
        <w:t xml:space="preserve"> als Pulver gewonnen und mit Fett, Wasser, Blut oder Urin gebunden. Mit Pinsel aus Haaren oder Pflanzenteilen oder den Fingern wurde die Farbpaste dann aufgetragen –  manchmal direkt auf die Felswand, teils wurde sie zuvor abgeschabt. Das Verwischen von Farben erzeugte den Eindruck von Volumen, das Hervorheben von Formen schafft Perspektive, die mehrfache Abbildung den Eindruck von Bewegung.</w:t>
      </w:r>
    </w:p>
    <w:p w14:paraId="2E767648" w14:textId="0DC189F4" w:rsidR="00737DFB" w:rsidRPr="00615480" w:rsidRDefault="00737DFB" w:rsidP="00E812D3">
      <w:pPr>
        <w:pStyle w:val="StandardWeb"/>
        <w:jc w:val="both"/>
        <w:rPr>
          <w:rFonts w:ascii="Palatino Linotype" w:eastAsiaTheme="minorHAnsi" w:hAnsi="Palatino Linotype" w:cstheme="minorBidi"/>
          <w:kern w:val="2"/>
          <w:sz w:val="28"/>
          <w:szCs w:val="28"/>
          <w:lang w:eastAsia="en-US"/>
          <w14:ligatures w14:val="standardContextual"/>
        </w:rPr>
      </w:pPr>
      <w:hyperlink r:id="rId10" w:tgtFrame="_blank" w:history="1">
        <w:r w:rsidRPr="00615480">
          <w:rPr>
            <w:rFonts w:ascii="Palatino Linotype" w:eastAsiaTheme="minorHAnsi" w:hAnsi="Palatino Linotype" w:cstheme="minorBidi"/>
            <w:color w:val="8E7618"/>
            <w:kern w:val="2"/>
            <w:sz w:val="28"/>
            <w:szCs w:val="28"/>
            <w:u w:val="single"/>
            <w:lang w:eastAsia="en-US"/>
            <w14:ligatures w14:val="standardContextual"/>
          </w:rPr>
          <w:t>MEHR LERNEN WIE BEWEGUNG DARGESTELLT WIRD IM VIDEO "Des cinémas durant la préhistoire?" </w:t>
        </w:r>
      </w:hyperlink>
    </w:p>
    <w:p w14:paraId="3849CD46" w14:textId="5E8E67F4" w:rsidR="00737DFB" w:rsidRPr="00615480" w:rsidRDefault="00737DFB" w:rsidP="00E812D3">
      <w:pPr>
        <w:pStyle w:val="StandardWeb"/>
        <w:jc w:val="both"/>
        <w:rPr>
          <w:rFonts w:ascii="Palatino Linotype" w:hAnsi="Palatino Linotype"/>
          <w:color w:val="8E7618"/>
          <w:sz w:val="32"/>
          <w:szCs w:val="32"/>
        </w:rPr>
      </w:pPr>
      <w:r w:rsidRPr="00615480">
        <w:rPr>
          <w:rFonts w:ascii="Palatino Linotype" w:hAnsi="Palatino Linotype"/>
          <w:color w:val="8E7618"/>
          <w:sz w:val="32"/>
          <w:szCs w:val="32"/>
        </w:rPr>
        <w:t>Hände und Frauenfiguren</w:t>
      </w:r>
    </w:p>
    <w:p w14:paraId="2EABB872" w14:textId="77777777" w:rsidR="00737DFB" w:rsidRPr="00615480" w:rsidRDefault="00737DFB" w:rsidP="00737DFB">
      <w:pPr>
        <w:spacing w:before="100" w:beforeAutospacing="1" w:after="100" w:afterAutospacing="1" w:line="240" w:lineRule="auto"/>
        <w:jc w:val="both"/>
        <w:rPr>
          <w:rFonts w:ascii="Palatino Linotype" w:eastAsia="Times New Roman" w:hAnsi="Palatino Linotype" w:cs="Times New Roman"/>
          <w:kern w:val="0"/>
          <w:sz w:val="28"/>
          <w:szCs w:val="28"/>
          <w:lang w:eastAsia="de-DE"/>
          <w14:ligatures w14:val="none"/>
        </w:rPr>
      </w:pPr>
      <w:r w:rsidRPr="00737DFB">
        <w:rPr>
          <w:rFonts w:ascii="Palatino Linotype" w:eastAsia="Times New Roman" w:hAnsi="Palatino Linotype" w:cs="Times New Roman"/>
          <w:kern w:val="0"/>
          <w:sz w:val="28"/>
          <w:szCs w:val="28"/>
          <w:lang w:eastAsia="de-DE"/>
          <w14:ligatures w14:val="none"/>
        </w:rPr>
        <w:t>In der nachfolgenden Zeitphase, dem "</w:t>
      </w:r>
      <w:r w:rsidRPr="00737DFB">
        <w:rPr>
          <w:rFonts w:ascii="Palatino Linotype" w:eastAsia="Times New Roman" w:hAnsi="Palatino Linotype" w:cs="Times New Roman"/>
          <w:color w:val="8E7618"/>
          <w:kern w:val="0"/>
          <w:sz w:val="28"/>
          <w:szCs w:val="28"/>
          <w:lang w:eastAsia="de-DE"/>
          <w14:ligatures w14:val="none"/>
        </w:rPr>
        <w:t>Gravettien</w:t>
      </w:r>
      <w:r w:rsidRPr="00737DFB">
        <w:rPr>
          <w:rFonts w:ascii="Palatino Linotype" w:eastAsia="Times New Roman" w:hAnsi="Palatino Linotype" w:cs="Times New Roman"/>
          <w:kern w:val="0"/>
          <w:sz w:val="28"/>
          <w:szCs w:val="28"/>
          <w:lang w:eastAsia="de-DE"/>
          <w14:ligatures w14:val="none"/>
        </w:rPr>
        <w:t xml:space="preserve">" (ca. 34.000-25.000 Jahre vor heute), finden sich sehr häufig Handabdrücke oder -negative auf Höhlenwänden (z. B. in der Höhle </w:t>
      </w:r>
      <w:hyperlink r:id="rId11" w:anchor="grotte" w:tgtFrame="_blank" w:history="1">
        <w:r w:rsidRPr="00737DFB">
          <w:rPr>
            <w:rFonts w:ascii="Palatino Linotype" w:eastAsia="Times New Roman" w:hAnsi="Palatino Linotype" w:cs="Times New Roman"/>
            <w:color w:val="8E7618"/>
            <w:kern w:val="0"/>
            <w:sz w:val="28"/>
            <w:szCs w:val="28"/>
            <w:u w:val="single"/>
            <w:lang w:eastAsia="de-DE"/>
            <w14:ligatures w14:val="none"/>
          </w:rPr>
          <w:t>Gargas</w:t>
        </w:r>
      </w:hyperlink>
      <w:r w:rsidRPr="00737DFB">
        <w:rPr>
          <w:rFonts w:ascii="Palatino Linotype" w:eastAsia="Times New Roman" w:hAnsi="Palatino Linotype" w:cs="Times New Roman"/>
          <w:kern w:val="0"/>
          <w:sz w:val="28"/>
          <w:szCs w:val="28"/>
          <w:lang w:eastAsia="de-DE"/>
          <w14:ligatures w14:val="none"/>
        </w:rPr>
        <w:t xml:space="preserve">). Die Hände wurden wie eine Schablone an die Wand gehalten und mit Farbe umpustet oder die angemalte Hand direkt auf die Wand gedrückt. Manchmal weisen sie alle </w:t>
      </w:r>
      <w:r w:rsidRPr="00737DFB">
        <w:rPr>
          <w:rFonts w:ascii="Palatino Linotype" w:eastAsia="Times New Roman" w:hAnsi="Palatino Linotype" w:cs="Times New Roman"/>
          <w:kern w:val="0"/>
          <w:sz w:val="28"/>
          <w:szCs w:val="28"/>
          <w:lang w:eastAsia="de-DE"/>
          <w14:ligatures w14:val="none"/>
        </w:rPr>
        <w:lastRenderedPageBreak/>
        <w:t>die gleiche Haltung der Finger auf oder von einem Finger ist nur die Hälfte abgebildet wie auf einem Fries in Gargas. Das dürfte kaum Zufall sein, eher ein bestimmtes Zeichen wie wir z. B. heute einen „Daumen hoch“ verwenden.</w:t>
      </w:r>
    </w:p>
    <w:p w14:paraId="750F1BFE" w14:textId="032845CF" w:rsidR="00737DFB" w:rsidRPr="00615480" w:rsidRDefault="00737DFB" w:rsidP="00737DFB">
      <w:pPr>
        <w:spacing w:before="100" w:beforeAutospacing="1" w:after="100" w:afterAutospacing="1" w:line="240" w:lineRule="auto"/>
        <w:jc w:val="both"/>
        <w:rPr>
          <w:rFonts w:ascii="Palatino Linotype" w:eastAsia="Times New Roman" w:hAnsi="Palatino Linotype" w:cs="Times New Roman"/>
          <w:kern w:val="0"/>
          <w:sz w:val="28"/>
          <w:szCs w:val="28"/>
          <w:lang w:eastAsia="de-DE"/>
          <w14:ligatures w14:val="none"/>
        </w:rPr>
      </w:pPr>
      <w:r w:rsidRPr="00737DFB">
        <w:rPr>
          <w:rFonts w:ascii="Palatino Linotype" w:eastAsia="Times New Roman" w:hAnsi="Palatino Linotype" w:cs="Times New Roman"/>
          <w:kern w:val="0"/>
          <w:sz w:val="28"/>
          <w:szCs w:val="28"/>
          <w:lang w:eastAsia="de-DE"/>
          <w14:ligatures w14:val="none"/>
        </w:rPr>
        <w:t>Aus dem Gravettien sind sehr viele Frauenstatuetten gefunden worden - ein weites Feld der verschiedensten Interpretationen, wer hier dargestellt wird und wozu. Teilweise sind sie aus Stein geschnitzt, aber nun gibt es an Fundorten aus dem heutigen Böhmen (Dolni Vestonice) auch erstmals gebrannten Ton als Material für Tierfiguren und Frauenfigurinen.</w:t>
      </w:r>
    </w:p>
    <w:p w14:paraId="284F3EDE" w14:textId="72C904BA" w:rsidR="00737DFB" w:rsidRPr="00615480" w:rsidRDefault="00737DFB" w:rsidP="00615480">
      <w:pPr>
        <w:spacing w:before="100" w:beforeAutospacing="1" w:after="100" w:afterAutospacing="1" w:line="240" w:lineRule="auto"/>
        <w:ind w:left="708" w:firstLine="708"/>
        <w:jc w:val="both"/>
        <w:rPr>
          <w:rFonts w:ascii="Palatino Linotype" w:eastAsia="Times New Roman" w:hAnsi="Palatino Linotype" w:cs="Times New Roman"/>
          <w:kern w:val="0"/>
          <w:sz w:val="24"/>
          <w:szCs w:val="24"/>
          <w:lang w:eastAsia="de-DE"/>
          <w14:ligatures w14:val="none"/>
        </w:rPr>
      </w:pPr>
      <w:r w:rsidRPr="00615480">
        <w:rPr>
          <w:rFonts w:ascii="Palatino Linotype" w:eastAsia="Times New Roman" w:hAnsi="Palatino Linotype" w:cs="Times New Roman"/>
          <w:kern w:val="0"/>
          <w:sz w:val="24"/>
          <w:szCs w:val="24"/>
          <w:lang w:eastAsia="de-DE"/>
          <w14:ligatures w14:val="none"/>
        </w:rPr>
        <w:drawing>
          <wp:inline distT="0" distB="0" distL="0" distR="0" wp14:anchorId="24C7453D" wp14:editId="1CE27012">
            <wp:extent cx="3009332" cy="2963236"/>
            <wp:effectExtent l="0" t="0" r="635" b="8890"/>
            <wp:docPr id="1174538090" name="Grafik 1" descr="Ein Bild, das Kalkstein, Artefakt, Statue, St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38090" name="Grafik 1" descr="Ein Bild, das Kalkstein, Artefakt, Statue, Stein enthält.&#10;&#10;KI-generierte Inhalte können fehlerhaft sein."/>
                    <pic:cNvPicPr/>
                  </pic:nvPicPr>
                  <pic:blipFill>
                    <a:blip r:embed="rId12"/>
                    <a:stretch>
                      <a:fillRect/>
                    </a:stretch>
                  </pic:blipFill>
                  <pic:spPr>
                    <a:xfrm>
                      <a:off x="0" y="0"/>
                      <a:ext cx="3029430" cy="2983026"/>
                    </a:xfrm>
                    <a:prstGeom prst="rect">
                      <a:avLst/>
                    </a:prstGeom>
                  </pic:spPr>
                </pic:pic>
              </a:graphicData>
            </a:graphic>
          </wp:inline>
        </w:drawing>
      </w:r>
    </w:p>
    <w:p w14:paraId="33506EFA" w14:textId="55AE7AEF" w:rsidR="00737DFB" w:rsidRPr="00615480" w:rsidRDefault="00737DFB" w:rsidP="00737DFB">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615480">
        <w:rPr>
          <w:rFonts w:ascii="Palatino Linotype" w:hAnsi="Palatino Linotype"/>
          <w:sz w:val="24"/>
          <w:szCs w:val="24"/>
        </w:rPr>
        <w:t>Felsblock mit Flachrelief, das u. a. Auerochsen zeigt; Fourneau du Diable</w:t>
      </w:r>
    </w:p>
    <w:p w14:paraId="45757864" w14:textId="004BABEA" w:rsidR="00737DFB" w:rsidRPr="00615480" w:rsidRDefault="00737DFB" w:rsidP="00737DFB">
      <w:pPr>
        <w:spacing w:before="100" w:beforeAutospacing="1" w:after="100" w:afterAutospacing="1" w:line="240" w:lineRule="auto"/>
        <w:jc w:val="both"/>
        <w:rPr>
          <w:rFonts w:ascii="Palatino Linotype" w:hAnsi="Palatino Linotype"/>
          <w:sz w:val="28"/>
          <w:szCs w:val="28"/>
        </w:rPr>
      </w:pPr>
      <w:r w:rsidRPr="00615480">
        <w:rPr>
          <w:rFonts w:ascii="Palatino Linotype" w:hAnsi="Palatino Linotype"/>
          <w:sz w:val="28"/>
          <w:szCs w:val="28"/>
        </w:rPr>
        <w:t>Auf das Gravettien folgt auf der Iberischen Halbinsel das "</w:t>
      </w:r>
      <w:r w:rsidRPr="00615480">
        <w:rPr>
          <w:rStyle w:val="theming-theme-accent1"/>
          <w:rFonts w:ascii="Palatino Linotype" w:hAnsi="Palatino Linotype"/>
          <w:color w:val="8E7618"/>
          <w:sz w:val="28"/>
          <w:szCs w:val="28"/>
        </w:rPr>
        <w:t>Solutréen</w:t>
      </w:r>
      <w:r w:rsidRPr="00615480">
        <w:rPr>
          <w:rFonts w:ascii="Palatino Linotype" w:hAnsi="Palatino Linotype"/>
          <w:sz w:val="28"/>
          <w:szCs w:val="28"/>
        </w:rPr>
        <w:t>" (ca. 25.000-23.000 Jahre vor heute), eine Zeit in der in der Höhlenkunst erstmalig Halbreliefs gestaltet und eine Vielzahl von Höhlen bemalt werden, z. B. am Ende des Solutréen/Beginn des "</w:t>
      </w:r>
      <w:r w:rsidRPr="00615480">
        <w:rPr>
          <w:rStyle w:val="theming-theme-accent1"/>
          <w:rFonts w:ascii="Palatino Linotype" w:hAnsi="Palatino Linotype"/>
          <w:color w:val="8E7618"/>
          <w:sz w:val="28"/>
          <w:szCs w:val="28"/>
        </w:rPr>
        <w:t>Magdalénien</w:t>
      </w:r>
      <w:r w:rsidRPr="00615480">
        <w:rPr>
          <w:rStyle w:val="theming-theme-accent1"/>
          <w:rFonts w:ascii="Palatino Linotype" w:hAnsi="Palatino Linotype"/>
          <w:sz w:val="28"/>
          <w:szCs w:val="28"/>
        </w:rPr>
        <w:t>"</w:t>
      </w:r>
      <w:r w:rsidRPr="00615480">
        <w:rPr>
          <w:rFonts w:ascii="Palatino Linotype" w:hAnsi="Palatino Linotype"/>
          <w:sz w:val="28"/>
          <w:szCs w:val="28"/>
        </w:rPr>
        <w:t xml:space="preserve"> (ca. 20.000-14.000 Jahre vor heute)  die berühmte Höhle </w:t>
      </w:r>
      <w:r w:rsidRPr="00615480">
        <w:rPr>
          <w:rFonts w:ascii="Palatino Linotype" w:hAnsi="Palatino Linotype"/>
          <w:i/>
          <w:iCs/>
          <w:sz w:val="28"/>
          <w:szCs w:val="28"/>
        </w:rPr>
        <w:t>von Lascaux</w:t>
      </w:r>
      <w:r w:rsidRPr="00615480">
        <w:rPr>
          <w:rFonts w:ascii="Palatino Linotype" w:hAnsi="Palatino Linotype"/>
          <w:sz w:val="28"/>
          <w:szCs w:val="28"/>
        </w:rPr>
        <w:t>. </w:t>
      </w:r>
    </w:p>
    <w:p w14:paraId="4827A658" w14:textId="17805BB6" w:rsidR="00737DFB" w:rsidRPr="00615480" w:rsidRDefault="00737DFB" w:rsidP="00737DFB">
      <w:pPr>
        <w:spacing w:before="100" w:beforeAutospacing="1" w:after="100" w:afterAutospacing="1" w:line="240" w:lineRule="auto"/>
        <w:jc w:val="both"/>
        <w:rPr>
          <w:rFonts w:ascii="Palatino Linotype" w:hAnsi="Palatino Linotype"/>
          <w:color w:val="8E7618"/>
          <w:sz w:val="28"/>
          <w:szCs w:val="28"/>
        </w:rPr>
      </w:pPr>
      <w:hyperlink r:id="rId13" w:tgtFrame="_blank" w:history="1">
        <w:r w:rsidRPr="00615480">
          <w:rPr>
            <w:rFonts w:ascii="Palatino Linotype" w:hAnsi="Palatino Linotype"/>
            <w:color w:val="8E7618"/>
            <w:sz w:val="28"/>
            <w:szCs w:val="28"/>
            <w:u w:val="single"/>
          </w:rPr>
          <w:t>MEHR LERNEN ÜBER DIE HÖHLE VON LASCAUX </w:t>
        </w:r>
      </w:hyperlink>
    </w:p>
    <w:p w14:paraId="3AEDB4B2" w14:textId="77777777" w:rsidR="00615480" w:rsidRDefault="00615480" w:rsidP="00737DFB">
      <w:pPr>
        <w:spacing w:before="100" w:beforeAutospacing="1" w:after="100" w:afterAutospacing="1" w:line="240" w:lineRule="auto"/>
        <w:jc w:val="both"/>
        <w:rPr>
          <w:color w:val="8E7618"/>
          <w:sz w:val="42"/>
          <w:szCs w:val="42"/>
        </w:rPr>
      </w:pPr>
    </w:p>
    <w:p w14:paraId="64704DD6" w14:textId="77777777" w:rsidR="00615480" w:rsidRDefault="00615480" w:rsidP="00737DFB">
      <w:pPr>
        <w:spacing w:before="100" w:beforeAutospacing="1" w:after="100" w:afterAutospacing="1" w:line="240" w:lineRule="auto"/>
        <w:jc w:val="both"/>
        <w:rPr>
          <w:color w:val="8E7618"/>
          <w:sz w:val="42"/>
          <w:szCs w:val="42"/>
        </w:rPr>
      </w:pPr>
    </w:p>
    <w:p w14:paraId="1D8B019E" w14:textId="4C39E76E" w:rsidR="00E259E3" w:rsidRPr="00615480" w:rsidRDefault="00E259E3" w:rsidP="00737DFB">
      <w:pPr>
        <w:spacing w:before="100" w:beforeAutospacing="1" w:after="100" w:afterAutospacing="1" w:line="240" w:lineRule="auto"/>
        <w:jc w:val="both"/>
        <w:rPr>
          <w:rFonts w:ascii="Palatino Linotype" w:hAnsi="Palatino Linotype"/>
          <w:color w:val="8E7618"/>
          <w:sz w:val="32"/>
          <w:szCs w:val="32"/>
        </w:rPr>
      </w:pPr>
      <w:r w:rsidRPr="00615480">
        <w:rPr>
          <w:rFonts w:ascii="Palatino Linotype" w:hAnsi="Palatino Linotype"/>
          <w:color w:val="8E7618"/>
          <w:sz w:val="32"/>
          <w:szCs w:val="32"/>
        </w:rPr>
        <w:lastRenderedPageBreak/>
        <w:t>Verzierte Alltagsgegenstände und "Frauen ohne Kopf"</w:t>
      </w:r>
    </w:p>
    <w:p w14:paraId="15FEB246" w14:textId="649A9077" w:rsidR="00E259E3" w:rsidRPr="00615480" w:rsidRDefault="00E259E3" w:rsidP="00737DFB">
      <w:pPr>
        <w:spacing w:before="100" w:beforeAutospacing="1" w:after="100" w:afterAutospacing="1" w:line="240" w:lineRule="auto"/>
        <w:jc w:val="both"/>
        <w:rPr>
          <w:rFonts w:ascii="Palatino Linotype" w:hAnsi="Palatino Linotype"/>
          <w:sz w:val="28"/>
          <w:szCs w:val="28"/>
        </w:rPr>
      </w:pPr>
      <w:r w:rsidRPr="00615480">
        <w:rPr>
          <w:rFonts w:ascii="Palatino Linotype" w:hAnsi="Palatino Linotype"/>
          <w:sz w:val="28"/>
          <w:szCs w:val="28"/>
        </w:rPr>
        <w:t xml:space="preserve">In der Höhlenkunst des </w:t>
      </w:r>
      <w:r w:rsidRPr="00615480">
        <w:rPr>
          <w:rStyle w:val="theming-theme-accent1"/>
          <w:rFonts w:ascii="Palatino Linotype" w:hAnsi="Palatino Linotype"/>
          <w:sz w:val="28"/>
          <w:szCs w:val="28"/>
        </w:rPr>
        <w:t>Magdalénien</w:t>
      </w:r>
      <w:r w:rsidRPr="00615480">
        <w:rPr>
          <w:rFonts w:ascii="Palatino Linotype" w:hAnsi="Palatino Linotype"/>
          <w:sz w:val="28"/>
          <w:szCs w:val="28"/>
        </w:rPr>
        <w:t xml:space="preserve"> finden wir eine Vielfalt von Techniken wie schwarze Zeichnungen (z. B. im schwarzen Salon der Grotte du </w:t>
      </w:r>
      <w:r w:rsidRPr="00615480">
        <w:rPr>
          <w:rFonts w:ascii="Palatino Linotype" w:hAnsi="Palatino Linotype"/>
          <w:color w:val="8E7618"/>
          <w:sz w:val="28"/>
          <w:szCs w:val="28"/>
        </w:rPr>
        <w:t>Niaux</w:t>
      </w:r>
      <w:r w:rsidR="00CA0801" w:rsidRPr="00615480">
        <w:rPr>
          <w:rFonts w:ascii="Palatino Linotype" w:hAnsi="Palatino Linotype"/>
          <w:color w:val="8E7618"/>
          <w:sz w:val="28"/>
          <w:szCs w:val="28"/>
        </w:rPr>
        <w:t>/Archot(r)ip 4</w:t>
      </w:r>
      <w:r w:rsidR="00CA0801" w:rsidRPr="00615480">
        <w:rPr>
          <w:rFonts w:ascii="Palatino Linotype" w:hAnsi="Palatino Linotype"/>
          <w:sz w:val="28"/>
          <w:szCs w:val="28"/>
        </w:rPr>
        <w:t>)</w:t>
      </w:r>
      <w:r w:rsidRPr="00615480">
        <w:rPr>
          <w:rFonts w:ascii="Palatino Linotype" w:hAnsi="Palatino Linotype"/>
          <w:sz w:val="28"/>
          <w:szCs w:val="28"/>
        </w:rPr>
        <w:t>, vielfarbige Darstellungen (z. B. die roten Stiere in Altamira), Skulpturen und Halbreliefs aus Ton. Mit Gravuren werden Höhlenwänden, aber in gleicher Weise auch transportable Sandstein-, Schiefer- oder Kalkplatten versehen wie sie bei uns im Hohlenstein, Nördlinger Ries</w:t>
      </w:r>
      <w:r w:rsidRPr="00615480">
        <w:rPr>
          <w:rFonts w:ascii="Palatino Linotype" w:hAnsi="Palatino Linotype"/>
          <w:sz w:val="28"/>
          <w:szCs w:val="28"/>
        </w:rPr>
        <w:t>,</w:t>
      </w:r>
      <w:r w:rsidRPr="00615480">
        <w:rPr>
          <w:rFonts w:ascii="Palatino Linotype" w:hAnsi="Palatino Linotype"/>
          <w:sz w:val="28"/>
          <w:szCs w:val="28"/>
        </w:rPr>
        <w:t xml:space="preserve"> und besonders zahlreich in Gönnersdorf bei Koblenz gefunden wurden. Auch Waffen und Werkzeuge werden reich mit Tierdarstellungen oder geometrischen Formen verziert.</w:t>
      </w:r>
    </w:p>
    <w:p w14:paraId="1ECD3EBD" w14:textId="77777777" w:rsidR="00E259E3" w:rsidRDefault="00E259E3" w:rsidP="00737DFB">
      <w:pPr>
        <w:spacing w:before="100" w:beforeAutospacing="1" w:after="100" w:afterAutospacing="1" w:line="240" w:lineRule="auto"/>
        <w:jc w:val="both"/>
      </w:pPr>
    </w:p>
    <w:p w14:paraId="7240611C" w14:textId="3B5E37E8" w:rsidR="00E259E3" w:rsidRDefault="00E259E3" w:rsidP="00737DFB">
      <w:pPr>
        <w:spacing w:before="100" w:beforeAutospacing="1" w:after="100" w:afterAutospacing="1" w:line="240" w:lineRule="auto"/>
        <w:jc w:val="both"/>
      </w:pPr>
      <w:r w:rsidRPr="00E259E3">
        <w:drawing>
          <wp:inline distT="0" distB="0" distL="0" distR="0" wp14:anchorId="24E3D9C7" wp14:editId="73335A9F">
            <wp:extent cx="2472176" cy="2504365"/>
            <wp:effectExtent l="0" t="0" r="4445" b="0"/>
            <wp:docPr id="653014153" name="Grafik 1" descr="Ein Bild, das Beig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14153" name="Grafik 1" descr="Ein Bild, das Beige, Gelände enthält.&#10;&#10;KI-generierte Inhalte können fehlerhaft sein."/>
                    <pic:cNvPicPr/>
                  </pic:nvPicPr>
                  <pic:blipFill>
                    <a:blip r:embed="rId14"/>
                    <a:stretch>
                      <a:fillRect/>
                    </a:stretch>
                  </pic:blipFill>
                  <pic:spPr>
                    <a:xfrm>
                      <a:off x="0" y="0"/>
                      <a:ext cx="2479853" cy="2512142"/>
                    </a:xfrm>
                    <a:prstGeom prst="rect">
                      <a:avLst/>
                    </a:prstGeom>
                  </pic:spPr>
                </pic:pic>
              </a:graphicData>
            </a:graphic>
          </wp:inline>
        </w:drawing>
      </w:r>
      <w:r>
        <w:t xml:space="preserve">                                </w:t>
      </w:r>
      <w:r w:rsidRPr="00E259E3">
        <w:drawing>
          <wp:inline distT="0" distB="0" distL="0" distR="0" wp14:anchorId="237CCB8A" wp14:editId="1CD162B2">
            <wp:extent cx="2515827" cy="2504365"/>
            <wp:effectExtent l="0" t="0" r="0" b="0"/>
            <wp:docPr id="1217624080" name="Grafik 1" descr="Ein Bild, das Statue, Museum,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24080" name="Grafik 1" descr="Ein Bild, das Statue, Museum, Kunst, Im Haus enthält.&#10;&#10;KI-generierte Inhalte können fehlerhaft sein."/>
                    <pic:cNvPicPr/>
                  </pic:nvPicPr>
                  <pic:blipFill>
                    <a:blip r:embed="rId15"/>
                    <a:stretch>
                      <a:fillRect/>
                    </a:stretch>
                  </pic:blipFill>
                  <pic:spPr>
                    <a:xfrm>
                      <a:off x="0" y="0"/>
                      <a:ext cx="2523316" cy="2511820"/>
                    </a:xfrm>
                    <a:prstGeom prst="rect">
                      <a:avLst/>
                    </a:prstGeom>
                  </pic:spPr>
                </pic:pic>
              </a:graphicData>
            </a:graphic>
          </wp:inline>
        </w:drawing>
      </w:r>
    </w:p>
    <w:p w14:paraId="239432A9" w14:textId="46D731EE" w:rsidR="00E259E3" w:rsidRPr="00615480" w:rsidRDefault="00E259E3" w:rsidP="00737DFB">
      <w:pPr>
        <w:spacing w:before="100" w:beforeAutospacing="1" w:after="100" w:afterAutospacing="1" w:line="240" w:lineRule="auto"/>
        <w:jc w:val="both"/>
        <w:rPr>
          <w:rFonts w:ascii="Palatino Linotype" w:hAnsi="Palatino Linotype"/>
          <w:sz w:val="24"/>
          <w:szCs w:val="24"/>
        </w:rPr>
      </w:pPr>
      <w:r w:rsidRPr="00615480">
        <w:rPr>
          <w:rFonts w:ascii="Palatino Linotype" w:hAnsi="Palatino Linotype"/>
          <w:sz w:val="24"/>
          <w:szCs w:val="24"/>
        </w:rPr>
        <w:t xml:space="preserve">„Frau ohne Kopf“, Hohlenstein, Ries                        Harpunen aus Höhlen in  Spanien             </w:t>
      </w:r>
    </w:p>
    <w:p w14:paraId="46F900B6" w14:textId="777DDBB9" w:rsidR="00E259E3" w:rsidRPr="00615480" w:rsidRDefault="00E259E3" w:rsidP="00737DFB">
      <w:pPr>
        <w:spacing w:before="100" w:beforeAutospacing="1" w:after="100" w:afterAutospacing="1" w:line="240" w:lineRule="auto"/>
        <w:jc w:val="both"/>
        <w:rPr>
          <w:rFonts w:ascii="Palatino Linotype" w:hAnsi="Palatino Linotype"/>
          <w:color w:val="8E7618"/>
          <w:sz w:val="28"/>
          <w:szCs w:val="28"/>
        </w:rPr>
      </w:pPr>
      <w:r w:rsidRPr="00615480">
        <w:rPr>
          <w:rFonts w:ascii="Palatino Linotype" w:hAnsi="Palatino Linotype"/>
          <w:color w:val="8E7618"/>
          <w:sz w:val="28"/>
          <w:szCs w:val="28"/>
        </w:rPr>
        <w:t xml:space="preserve">Sei kritisch: Die Frauenfiguren werden oft nur vom Bauch abwärts dargestellt, wie Du es hier auf der Kalksteinplatte vom Hohlenstein sehen kannst. Manche Forschende meinen, das seien Tänzerinnen. Was meinst Du? Schreib einen Kommentar auf </w:t>
      </w:r>
      <w:r w:rsidR="00615480" w:rsidRPr="00615480">
        <w:rPr>
          <w:rFonts w:ascii="Palatino Linotype" w:hAnsi="Palatino Linotype"/>
          <w:color w:val="8E7618"/>
          <w:sz w:val="28"/>
          <w:szCs w:val="28"/>
        </w:rPr>
        <w:t>Instagram</w:t>
      </w:r>
      <w:r w:rsidRPr="00615480">
        <w:rPr>
          <w:rFonts w:ascii="Palatino Linotype" w:hAnsi="Palatino Linotype"/>
          <w:color w:val="8E7618"/>
          <w:sz w:val="28"/>
          <w:szCs w:val="28"/>
        </w:rPr>
        <w:t xml:space="preserve"> oder nutze #archotrip</w:t>
      </w:r>
    </w:p>
    <w:p w14:paraId="68582245" w14:textId="07684A5A" w:rsidR="00E259E3" w:rsidRDefault="00E259E3" w:rsidP="00737DFB">
      <w:pPr>
        <w:spacing w:before="100" w:beforeAutospacing="1" w:after="100" w:afterAutospacing="1" w:line="240" w:lineRule="auto"/>
        <w:jc w:val="both"/>
      </w:pPr>
      <w:r>
        <w:rPr>
          <w:sz w:val="18"/>
          <w:szCs w:val="18"/>
        </w:rPr>
        <w:t xml:space="preserve">                                                                                                </w:t>
      </w:r>
    </w:p>
    <w:p w14:paraId="446F8542" w14:textId="77777777" w:rsidR="00E259E3" w:rsidRPr="00737DFB" w:rsidRDefault="00E259E3" w:rsidP="00737DFB">
      <w:pPr>
        <w:spacing w:before="100" w:beforeAutospacing="1" w:after="100" w:afterAutospacing="1" w:line="240" w:lineRule="auto"/>
        <w:jc w:val="both"/>
        <w:rPr>
          <w:rFonts w:ascii="Times New Roman" w:eastAsia="Times New Roman" w:hAnsi="Times New Roman" w:cs="Times New Roman"/>
          <w:kern w:val="0"/>
          <w:sz w:val="24"/>
          <w:szCs w:val="24"/>
          <w:lang w:eastAsia="de-DE"/>
          <w14:ligatures w14:val="none"/>
        </w:rPr>
      </w:pPr>
    </w:p>
    <w:p w14:paraId="0D6601CE" w14:textId="77777777" w:rsidR="00737DFB" w:rsidRDefault="00737DFB" w:rsidP="00E812D3">
      <w:pPr>
        <w:pStyle w:val="StandardWeb"/>
        <w:jc w:val="both"/>
        <w:rPr>
          <w:rFonts w:ascii="ProzaLibre" w:hAnsi="ProzaLibre"/>
        </w:rPr>
      </w:pPr>
    </w:p>
    <w:p w14:paraId="0EE39A6B" w14:textId="77777777" w:rsidR="00E812D3" w:rsidRDefault="00E812D3" w:rsidP="00E812D3">
      <w:pPr>
        <w:pStyle w:val="StandardWeb"/>
        <w:jc w:val="both"/>
      </w:pPr>
    </w:p>
    <w:p w14:paraId="22E670C9" w14:textId="77777777" w:rsidR="00E812D3" w:rsidRDefault="00E812D3" w:rsidP="00167A0D">
      <w:pPr>
        <w:rPr>
          <w:rFonts w:ascii="Palatino Linotype" w:hAnsi="Palatino Linotype"/>
          <w:color w:val="8E7618"/>
          <w:sz w:val="32"/>
          <w:szCs w:val="32"/>
        </w:rPr>
      </w:pPr>
    </w:p>
    <w:sectPr w:rsidR="00E812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ProzaLibre">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ocumentProtection w:edit="readOnly" w:formatting="1" w:enforcement="1" w:cryptProviderType="rsaAES" w:cryptAlgorithmClass="hash" w:cryptAlgorithmType="typeAny" w:cryptAlgorithmSid="14" w:cryptSpinCount="100000" w:hash="wDZWY7hv9X/yEjPopZrrH/U4GVPkZnO+O3lVHZe6haGMxI3voNGWZp+OTpxNLLkZKslIaOGiNsANQeAIUC6syw==" w:salt="KUuIRHqFFZjnoyxZfQ6Vr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538F7"/>
    <w:rsid w:val="0009298C"/>
    <w:rsid w:val="000A5D87"/>
    <w:rsid w:val="000B4535"/>
    <w:rsid w:val="000D0FAC"/>
    <w:rsid w:val="00146B5C"/>
    <w:rsid w:val="00152820"/>
    <w:rsid w:val="00167A0D"/>
    <w:rsid w:val="0018391C"/>
    <w:rsid w:val="001A6F35"/>
    <w:rsid w:val="002152CC"/>
    <w:rsid w:val="00222A61"/>
    <w:rsid w:val="002A5F29"/>
    <w:rsid w:val="002B724D"/>
    <w:rsid w:val="002E1988"/>
    <w:rsid w:val="00323627"/>
    <w:rsid w:val="003329F1"/>
    <w:rsid w:val="00343BFB"/>
    <w:rsid w:val="00350EB9"/>
    <w:rsid w:val="0037235F"/>
    <w:rsid w:val="003854FA"/>
    <w:rsid w:val="003954FB"/>
    <w:rsid w:val="003A45F4"/>
    <w:rsid w:val="003B5577"/>
    <w:rsid w:val="004166F6"/>
    <w:rsid w:val="00423FF0"/>
    <w:rsid w:val="00431CC1"/>
    <w:rsid w:val="00437332"/>
    <w:rsid w:val="00450822"/>
    <w:rsid w:val="00472D36"/>
    <w:rsid w:val="0047757F"/>
    <w:rsid w:val="0048750C"/>
    <w:rsid w:val="004B16B9"/>
    <w:rsid w:val="004C411B"/>
    <w:rsid w:val="004C70BD"/>
    <w:rsid w:val="004C7851"/>
    <w:rsid w:val="004D5D29"/>
    <w:rsid w:val="004F2F48"/>
    <w:rsid w:val="00501AEC"/>
    <w:rsid w:val="00527DB5"/>
    <w:rsid w:val="00557B17"/>
    <w:rsid w:val="0058704A"/>
    <w:rsid w:val="005A1830"/>
    <w:rsid w:val="005A36F6"/>
    <w:rsid w:val="005A58E5"/>
    <w:rsid w:val="00615480"/>
    <w:rsid w:val="00616034"/>
    <w:rsid w:val="00646F8B"/>
    <w:rsid w:val="00675BDC"/>
    <w:rsid w:val="00686B22"/>
    <w:rsid w:val="006C259C"/>
    <w:rsid w:val="006F1600"/>
    <w:rsid w:val="006F1EEA"/>
    <w:rsid w:val="0070638E"/>
    <w:rsid w:val="00714B8B"/>
    <w:rsid w:val="007253D6"/>
    <w:rsid w:val="007359E4"/>
    <w:rsid w:val="00737DFB"/>
    <w:rsid w:val="00785B24"/>
    <w:rsid w:val="008106AE"/>
    <w:rsid w:val="00815B28"/>
    <w:rsid w:val="0083138F"/>
    <w:rsid w:val="008507D5"/>
    <w:rsid w:val="00852144"/>
    <w:rsid w:val="008662CA"/>
    <w:rsid w:val="008B492D"/>
    <w:rsid w:val="008D7BF9"/>
    <w:rsid w:val="008E4298"/>
    <w:rsid w:val="008F53FA"/>
    <w:rsid w:val="009308E2"/>
    <w:rsid w:val="009432F2"/>
    <w:rsid w:val="0095611C"/>
    <w:rsid w:val="009E40F8"/>
    <w:rsid w:val="00A20B15"/>
    <w:rsid w:val="00A303ED"/>
    <w:rsid w:val="00A97AB5"/>
    <w:rsid w:val="00AA3067"/>
    <w:rsid w:val="00AB0FEC"/>
    <w:rsid w:val="00AB58D9"/>
    <w:rsid w:val="00AF6688"/>
    <w:rsid w:val="00B34F0A"/>
    <w:rsid w:val="00B40259"/>
    <w:rsid w:val="00B40DD2"/>
    <w:rsid w:val="00B73EF0"/>
    <w:rsid w:val="00BA1C17"/>
    <w:rsid w:val="00BE2692"/>
    <w:rsid w:val="00BE5B9E"/>
    <w:rsid w:val="00C01654"/>
    <w:rsid w:val="00C02F67"/>
    <w:rsid w:val="00C064EA"/>
    <w:rsid w:val="00C55ECE"/>
    <w:rsid w:val="00C61DBD"/>
    <w:rsid w:val="00C94B82"/>
    <w:rsid w:val="00CA0801"/>
    <w:rsid w:val="00CA238B"/>
    <w:rsid w:val="00CC2967"/>
    <w:rsid w:val="00D76011"/>
    <w:rsid w:val="00DC31ED"/>
    <w:rsid w:val="00DF50BE"/>
    <w:rsid w:val="00E04910"/>
    <w:rsid w:val="00E259E3"/>
    <w:rsid w:val="00E3465C"/>
    <w:rsid w:val="00E75BA5"/>
    <w:rsid w:val="00E812D3"/>
    <w:rsid w:val="00E91AB1"/>
    <w:rsid w:val="00EB413B"/>
    <w:rsid w:val="00EB4E1C"/>
    <w:rsid w:val="00EC0A64"/>
    <w:rsid w:val="00EF6072"/>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E8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993">
      <w:bodyDiv w:val="1"/>
      <w:marLeft w:val="0"/>
      <w:marRight w:val="0"/>
      <w:marTop w:val="0"/>
      <w:marBottom w:val="0"/>
      <w:divBdr>
        <w:top w:val="none" w:sz="0" w:space="0" w:color="auto"/>
        <w:left w:val="none" w:sz="0" w:space="0" w:color="auto"/>
        <w:bottom w:val="none" w:sz="0" w:space="0" w:color="auto"/>
        <w:right w:val="none" w:sz="0" w:space="0" w:color="auto"/>
      </w:divBdr>
    </w:div>
    <w:div w:id="175154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etchfab.com/3d-models/ice-age-art-bird-water-fowl-94827146c66846c183ae61d42e0158c3" TargetMode="External"/><Relationship Id="rId13" Type="http://schemas.openxmlformats.org/officeDocument/2006/relationships/hyperlink" Target="https://archeologie.culture.gouv.fr/lascaux/fr/lascaux-3d" TargetMode="External"/><Relationship Id="rId3" Type="http://schemas.openxmlformats.org/officeDocument/2006/relationships/webSettings" Target="webSettings.xml"/><Relationship Id="rId7" Type="http://schemas.openxmlformats.org/officeDocument/2006/relationships/hyperlink" Target="https://www.unimuseum.uni-tuebingen.de/de/sammlungen/sammlung-der-aelteren-urgeschicht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grottesdegargas.fr/les-grottes-de-gargas/" TargetMode="Externa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hyperlink" Target="https://www.futura-sciences.com/sciences/actualites/magazine-science-cinemas-durant-prehistoire-90372/" TargetMode="External"/><Relationship Id="rId4" Type="http://schemas.openxmlformats.org/officeDocument/2006/relationships/image" Target="media/image1.png"/><Relationship Id="rId9" Type="http://schemas.openxmlformats.org/officeDocument/2006/relationships/hyperlink" Target="https://museumulm.de/sammlungen/die-archaeologische-sammlung/" TargetMode="Externa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994</Words>
  <Characters>6265</Characters>
  <Application>Microsoft Office Word</Application>
  <DocSecurity>8</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3</cp:revision>
  <dcterms:created xsi:type="dcterms:W3CDTF">2025-03-11T09:29:00Z</dcterms:created>
  <dcterms:modified xsi:type="dcterms:W3CDTF">2025-03-11T09:29:00Z</dcterms:modified>
</cp:coreProperties>
</file>